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5122" w14:textId="14346BAF" w:rsidR="009E1A20" w:rsidRPr="00FE6230" w:rsidRDefault="0048790B" w:rsidP="009E1A2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>Document modèle d</w:t>
      </w:r>
      <w:r w:rsidR="005578F5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 xml:space="preserve">estimation du </w:t>
      </w:r>
      <w:r w:rsidRPr="001676B2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 xml:space="preserve">coût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>d</w:t>
      </w:r>
      <w:r w:rsidR="005578F5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fr-FR"/>
        </w:rPr>
        <w:t>une politique fiscale</w:t>
      </w:r>
    </w:p>
    <w:p w14:paraId="230F5B4C" w14:textId="1F311F0E" w:rsidR="009E1A20" w:rsidRPr="00FE6230" w:rsidRDefault="0048790B" w:rsidP="009E1A20">
      <w:pPr>
        <w:spacing w:after="28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</w:pPr>
      <w:r w:rsidRPr="009E1A20"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  <w:t>[Insérer le titre d</w:t>
      </w:r>
      <w:r w:rsidR="00160483"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  <w:t>e la réforme</w:t>
      </w:r>
      <w:r w:rsidRPr="009E1A20"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  <w:t xml:space="preserve"> </w:t>
      </w:r>
      <w:r w:rsidR="00E85621"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  <w:t>fiscale</w:t>
      </w:r>
      <w:r w:rsidRPr="009E1A20">
        <w:rPr>
          <w:rFonts w:ascii="Times New Roman" w:eastAsia="Times New Roman" w:hAnsi="Times New Roman" w:cs="Times New Roman"/>
          <w:b/>
          <w:color w:val="000000"/>
          <w:sz w:val="20"/>
          <w:lang w:val="fr-FR"/>
        </w:rPr>
        <w:t>]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E02BF" w14:paraId="4A6EF508" w14:textId="77777777" w:rsidTr="004A3806">
        <w:tc>
          <w:tcPr>
            <w:tcW w:w="9067" w:type="dxa"/>
          </w:tcPr>
          <w:p w14:paraId="1F2E3333" w14:textId="622D9334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1. Description d</w:t>
            </w:r>
            <w:r w:rsidR="00FE623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e la réforme</w:t>
            </w:r>
          </w:p>
        </w:tc>
      </w:tr>
      <w:tr w:rsidR="000E02BF" w:rsidRPr="00C272E7" w14:paraId="2D21FD84" w14:textId="77777777" w:rsidTr="004A3806">
        <w:tc>
          <w:tcPr>
            <w:tcW w:w="9067" w:type="dxa"/>
          </w:tcPr>
          <w:p w14:paraId="1DBB1504" w14:textId="2DBDBE2E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[Description précise du changement de politique. Dans la mesure du possible, si plusieurs changements sont apportés à la même taxe, il convient de décrire et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estimer séparément les changements de politique, en veillant à ce que la somme des coûts individuels soit égale au coût global (en tenant compte des interactions entre les politiques)].</w:t>
            </w:r>
          </w:p>
        </w:tc>
      </w:tr>
      <w:tr w:rsidR="000E02BF" w:rsidRPr="00476D13" w14:paraId="15E91C00" w14:textId="77777777" w:rsidTr="004A3806">
        <w:tc>
          <w:tcPr>
            <w:tcW w:w="9067" w:type="dxa"/>
          </w:tcPr>
          <w:p w14:paraId="0C077A3D" w14:textId="7123AA1D" w:rsidR="004A3806" w:rsidRPr="00FE6230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 xml:space="preserve">2. </w:t>
            </w:r>
            <w:r w:rsidR="00C272E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Justification</w:t>
            </w: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 xml:space="preserve"> d</w:t>
            </w:r>
            <w:r w:rsidR="00FE623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e la réforme</w:t>
            </w:r>
          </w:p>
        </w:tc>
      </w:tr>
      <w:tr w:rsidR="000E02BF" w:rsidRPr="00C272E7" w14:paraId="07314CC2" w14:textId="77777777" w:rsidTr="004A3806">
        <w:tc>
          <w:tcPr>
            <w:tcW w:w="9067" w:type="dxa"/>
          </w:tcPr>
          <w:p w14:paraId="2AE3FB6D" w14:textId="0EEC7B90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[Exposer </w:t>
            </w:r>
            <w:r w:rsidR="00C272E7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la justification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d</w:t>
            </w:r>
            <w:r w:rsidR="00FE6230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 la réforme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, en veillant à ce qu</w:t>
            </w:r>
            <w:r w:rsidR="00DA2F01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’il 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soit cohérent et fondé sur un raisonnement économique solide].</w:t>
            </w:r>
          </w:p>
        </w:tc>
      </w:tr>
      <w:tr w:rsidR="000E02BF" w:rsidRPr="00C272E7" w14:paraId="6AF6C49D" w14:textId="77777777" w:rsidTr="004A3806">
        <w:tc>
          <w:tcPr>
            <w:tcW w:w="9067" w:type="dxa"/>
            <w:tcBorders>
              <w:bottom w:val="single" w:sz="4" w:space="0" w:color="auto"/>
            </w:tcBorders>
          </w:tcPr>
          <w:p w14:paraId="095A5EE2" w14:textId="16C52371" w:rsidR="004A3806" w:rsidRPr="00FE6230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3. Estimation statique du coût de la politique</w:t>
            </w:r>
          </w:p>
        </w:tc>
      </w:tr>
      <w:tr w:rsidR="000E02BF" w:rsidRPr="00C272E7" w14:paraId="0B11D094" w14:textId="77777777" w:rsidTr="004A3806">
        <w:tc>
          <w:tcPr>
            <w:tcW w:w="9067" w:type="dxa"/>
            <w:tcBorders>
              <w:bottom w:val="nil"/>
            </w:tcBorders>
          </w:tcPr>
          <w:p w14:paraId="17E1A3F0" w14:textId="4781ABBC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[Fournir des détails sur le coût/rendement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un</w:t>
            </w:r>
            <w:r w:rsidR="00FE6230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e réforme politique 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en maintenant les assiettes fiscales pertinentes aux niveaux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avant la réforme. Si possible, les estimations du coût doivent être présentées par année pour chaque année de la période de prévision budgétaire].</w:t>
            </w:r>
          </w:p>
          <w:p w14:paraId="465AED0D" w14:textId="77777777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  <w:t xml:space="preserve">Données et méthodologie </w:t>
            </w:r>
          </w:p>
          <w:p w14:paraId="2944F4C6" w14:textId="5E6CF4E4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</w:t>
            </w:r>
            <w:r w:rsidR="00476D13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D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escription des données utilisées pour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estimation et la méthode de calcul du coût. Cela doit inclure toutes les approximations ou hypothèses nécessaires, et mettre en évidence les cas où des changements dans les recettes provenant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autres impôts ont été pris en compte - par exemple lorsque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impôt en question fait partie de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assiette fiscale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un autre impôt].</w:t>
            </w:r>
          </w:p>
          <w:p w14:paraId="556F1CBB" w14:textId="77777777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  <w:t>Principales incertitudes</w:t>
            </w:r>
          </w:p>
          <w:p w14:paraId="22AE12BE" w14:textId="27DCE4D0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[Définir les principales incertitudes liées aux données et à la méthodologie, en donnant une indication de leur ampleur/signification potentielle. Examine</w:t>
            </w:r>
            <w:r w:rsidR="008E54C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r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si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illustration de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utilisation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autres estimations basses/élevées est utile pour communiquer cette incertitude].</w:t>
            </w:r>
          </w:p>
        </w:tc>
      </w:tr>
      <w:tr w:rsidR="000E02BF" w:rsidRPr="00C272E7" w14:paraId="2BB14953" w14:textId="77777777" w:rsidTr="004A3806">
        <w:tc>
          <w:tcPr>
            <w:tcW w:w="9067" w:type="dxa"/>
          </w:tcPr>
          <w:p w14:paraId="457B712B" w14:textId="05B74745" w:rsidR="004A3806" w:rsidRPr="00FE6230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4. Estimation dynamique du coût de la politique</w:t>
            </w:r>
          </w:p>
        </w:tc>
      </w:tr>
      <w:tr w:rsidR="000E02BF" w:rsidRPr="00C272E7" w14:paraId="66F2EC91" w14:textId="77777777" w:rsidTr="004A3806">
        <w:tc>
          <w:tcPr>
            <w:tcW w:w="9067" w:type="dxa"/>
          </w:tcPr>
          <w:p w14:paraId="4B56D2AA" w14:textId="18EC1A2E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[Fournir des détails sur le coût/rendement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un</w:t>
            </w:r>
            <w:r w:rsidR="00FE6230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e réforme 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politique en tenant compte des effets comportementaux de premier tour - tels que les changements dans la demande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un produit lorsque la taxe sur celui-ci change - pour la période de prévision].</w:t>
            </w:r>
          </w:p>
          <w:p w14:paraId="5CDC919B" w14:textId="77777777" w:rsidR="004A3806" w:rsidRPr="00FE6230" w:rsidRDefault="0048790B" w:rsidP="004A3806">
            <w:pPr>
              <w:keepNext/>
              <w:spacing w:before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  <w:t>Données et méthodologie</w:t>
            </w:r>
          </w:p>
          <w:p w14:paraId="14CADCF3" w14:textId="20D31F6C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[Description de la méthode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intégration des changements de comportement. Cela devrait inclure les marges de changement admises, les élasticités ou autres hypothèses utilisées, et les sources de ces élasticités].</w:t>
            </w:r>
          </w:p>
          <w:p w14:paraId="458B107F" w14:textId="77777777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fr-FR"/>
              </w:rPr>
              <w:t>Principales incertitudes</w:t>
            </w:r>
          </w:p>
          <w:p w14:paraId="0304B726" w14:textId="39A09776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[Indiquer les principales incertitudes liées à la méthodologie, telles que le type de réponses comportementales et les élasticités, en donnant une indication de leur ampleur/signification potentielle. Examiner si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illustration de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utilisation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estimations alternatives hautes/basses est utile pour communiquer cette incertitude].</w:t>
            </w:r>
          </w:p>
        </w:tc>
      </w:tr>
      <w:tr w:rsidR="000E02BF" w14:paraId="5CEFBA7A" w14:textId="77777777" w:rsidTr="004A3806">
        <w:tc>
          <w:tcPr>
            <w:tcW w:w="9067" w:type="dxa"/>
          </w:tcPr>
          <w:p w14:paraId="106A66A0" w14:textId="77777777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5. Impacts économiques plus larges</w:t>
            </w:r>
          </w:p>
        </w:tc>
      </w:tr>
      <w:tr w:rsidR="000E02BF" w:rsidRPr="00C272E7" w14:paraId="17E182B8" w14:textId="77777777" w:rsidTr="004A3806">
        <w:tc>
          <w:tcPr>
            <w:tcW w:w="9067" w:type="dxa"/>
          </w:tcPr>
          <w:p w14:paraId="73D1B68E" w14:textId="5C39EB5A" w:rsidR="004A3806" w:rsidRPr="00FE6230" w:rsidRDefault="0048790B" w:rsidP="004A380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[Indiquer si vous pensez que la politique est susceptible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avoir des effets matériels et quantifiables sur la macroéconomie, en distinguant les effets du côté de la demande et ceux du côté de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offre. Si c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 le cas, les indiquer ici, et présenter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estimation finale de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impact de la politique sur les recettes, en incorporant ces effets. Il convient de noter que, dans de nombreuses circonstances, ces effets plus larges sont susceptibles d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être faibles et peuvent donc être ignorés].</w:t>
            </w:r>
          </w:p>
          <w:p w14:paraId="4F55566D" w14:textId="6E651D12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Les sections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Données et méthodologie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et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Principales incertitudes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doivent également figurer ici.</w:t>
            </w:r>
          </w:p>
        </w:tc>
      </w:tr>
      <w:tr w:rsidR="000E02BF" w:rsidRPr="00C272E7" w14:paraId="304CA2C3" w14:textId="77777777" w:rsidTr="004A3806">
        <w:trPr>
          <w:trHeight w:val="262"/>
        </w:trPr>
        <w:tc>
          <w:tcPr>
            <w:tcW w:w="9067" w:type="dxa"/>
          </w:tcPr>
          <w:p w14:paraId="41608EA2" w14:textId="52611951" w:rsidR="004A3806" w:rsidRPr="00FE6230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6. Estimation du coût final de la politique</w:t>
            </w:r>
          </w:p>
        </w:tc>
      </w:tr>
      <w:tr w:rsidR="000E02BF" w:rsidRPr="00C272E7" w14:paraId="12D5A3EF" w14:textId="77777777" w:rsidTr="004A3806">
        <w:tc>
          <w:tcPr>
            <w:tcW w:w="9067" w:type="dxa"/>
          </w:tcPr>
          <w:p w14:paraId="070CD861" w14:textId="04A74972" w:rsidR="004A3806" w:rsidRPr="00FE6230" w:rsidRDefault="0048790B" w:rsidP="004A3806">
            <w:pPr>
              <w:spacing w:before="120" w:after="280"/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lastRenderedPageBreak/>
              <w:t>[Définir une estimation finale du coût de la politique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 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: soit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estimation comportementale, soit l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’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estimation des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impacts économiques plus larges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. Pourrait avoir des estimations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basses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,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moyennes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et 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« 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hautes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 »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 xml:space="preserve"> si cela est jugé souhaitable].</w:t>
            </w:r>
          </w:p>
        </w:tc>
      </w:tr>
    </w:tbl>
    <w:p w14:paraId="28FEBF1F" w14:textId="77777777" w:rsidR="009E1A20" w:rsidRPr="00FE6230" w:rsidRDefault="009E1A20" w:rsidP="009E1A20">
      <w:pPr>
        <w:spacing w:before="80" w:after="300" w:line="340" w:lineRule="exact"/>
        <w:ind w:right="567"/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</w:pPr>
    </w:p>
    <w:p w14:paraId="4FF6E40C" w14:textId="2859C437" w:rsidR="009E1A20" w:rsidRPr="00FE6230" w:rsidRDefault="0048790B" w:rsidP="009E1A20">
      <w:pPr>
        <w:spacing w:before="80" w:after="300" w:line="340" w:lineRule="exact"/>
        <w:ind w:right="567"/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</w:pPr>
      <w:r w:rsidRPr="009E1A20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Annexe</w:t>
      </w:r>
      <w:r w:rsidR="005578F5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 </w:t>
      </w:r>
      <w:r w:rsidRPr="009E1A20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: tableau de pointage de l</w:t>
      </w:r>
      <w:r w:rsidR="005578F5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’</w:t>
      </w:r>
      <w:r w:rsidRPr="009E1A20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estimation du coût d</w:t>
      </w:r>
      <w:r w:rsidR="005578F5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’</w:t>
      </w:r>
      <w:r w:rsidRPr="009E1A20">
        <w:rPr>
          <w:rFonts w:ascii="Times New Roman" w:eastAsia="MS PMincho" w:hAnsi="Times New Roman" w:cs="Times New Roman"/>
          <w:b/>
          <w:color w:val="000000"/>
          <w:sz w:val="20"/>
          <w:szCs w:val="20"/>
          <w:lang w:val="fr-FR"/>
        </w:rPr>
        <w:t>une politique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2"/>
        <w:gridCol w:w="992"/>
        <w:gridCol w:w="1277"/>
      </w:tblGrid>
      <w:tr w:rsidR="000E02BF" w14:paraId="6F8E4F89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4D978DC1" w14:textId="77777777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Politique</w:t>
            </w:r>
          </w:p>
        </w:tc>
        <w:tc>
          <w:tcPr>
            <w:tcW w:w="992" w:type="dxa"/>
            <w:vAlign w:val="center"/>
          </w:tcPr>
          <w:p w14:paraId="4A260672" w14:textId="23E0C16F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2022</w:t>
            </w:r>
          </w:p>
        </w:tc>
        <w:tc>
          <w:tcPr>
            <w:tcW w:w="992" w:type="dxa"/>
            <w:vAlign w:val="center"/>
          </w:tcPr>
          <w:p w14:paraId="2FD21B62" w14:textId="6AEF96EA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2023</w:t>
            </w:r>
          </w:p>
        </w:tc>
        <w:tc>
          <w:tcPr>
            <w:tcW w:w="992" w:type="dxa"/>
            <w:vAlign w:val="center"/>
          </w:tcPr>
          <w:p w14:paraId="2A713B85" w14:textId="5E427DE4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2024</w:t>
            </w:r>
          </w:p>
        </w:tc>
        <w:tc>
          <w:tcPr>
            <w:tcW w:w="992" w:type="dxa"/>
            <w:vAlign w:val="center"/>
          </w:tcPr>
          <w:p w14:paraId="55052AA4" w14:textId="50FCAE8B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2025</w:t>
            </w:r>
          </w:p>
        </w:tc>
        <w:tc>
          <w:tcPr>
            <w:tcW w:w="1277" w:type="dxa"/>
            <w:vAlign w:val="center"/>
          </w:tcPr>
          <w:p w14:paraId="4241C0CD" w14:textId="77777777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fr-FR"/>
              </w:rPr>
              <w:t>Long terme</w:t>
            </w:r>
          </w:p>
        </w:tc>
      </w:tr>
      <w:tr w:rsidR="000E02BF" w14:paraId="5325E2CB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418E3D85" w14:textId="158B0FC1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Politique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 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1</w:t>
            </w:r>
          </w:p>
        </w:tc>
        <w:tc>
          <w:tcPr>
            <w:tcW w:w="992" w:type="dxa"/>
            <w:vAlign w:val="center"/>
          </w:tcPr>
          <w:p w14:paraId="08DAEFCF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2E9F88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AAFB3F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758DBB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73CB23B6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E02BF" w14:paraId="5FA1E482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6F7A7251" w14:textId="6F8D94F3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Politique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 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14:paraId="47806ED5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28C051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669C39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840469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1A9F17C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E02BF" w14:paraId="6EA0A4FC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60C82D7C" w14:textId="5AE86EAB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Politique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 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14:paraId="7A85DB37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37BFC4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C4CCE6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F54F6B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5EF4C118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E02BF" w14:paraId="036C4539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23E64DA3" w14:textId="3E00720F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Politique</w:t>
            </w:r>
            <w:r w:rsidR="005578F5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 </w:t>
            </w: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4</w:t>
            </w:r>
          </w:p>
        </w:tc>
        <w:tc>
          <w:tcPr>
            <w:tcW w:w="992" w:type="dxa"/>
            <w:vAlign w:val="center"/>
          </w:tcPr>
          <w:p w14:paraId="553D23E1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965B63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3CA6FB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DE9FA1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789EE962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E02BF" w14:paraId="009B8311" w14:textId="77777777" w:rsidTr="00DD4645">
        <w:trPr>
          <w:trHeight w:val="567"/>
        </w:trPr>
        <w:tc>
          <w:tcPr>
            <w:tcW w:w="3794" w:type="dxa"/>
            <w:vAlign w:val="center"/>
          </w:tcPr>
          <w:p w14:paraId="6BA84F7B" w14:textId="77777777" w:rsidR="004A3806" w:rsidRPr="004A3806" w:rsidRDefault="0048790B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A3806">
              <w:rPr>
                <w:rFonts w:ascii="Times New Roman" w:eastAsia="Times New Roman" w:hAnsi="Times New Roman" w:cs="Times New Roman"/>
                <w:color w:val="000000"/>
                <w:sz w:val="20"/>
                <w:lang w:val="fr-FR"/>
              </w:rPr>
              <w:t>Total</w:t>
            </w:r>
          </w:p>
        </w:tc>
        <w:tc>
          <w:tcPr>
            <w:tcW w:w="992" w:type="dxa"/>
            <w:vAlign w:val="center"/>
          </w:tcPr>
          <w:p w14:paraId="32FE0F3B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9B137D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478011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090E54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0B7773A0" w14:textId="77777777" w:rsidR="004A3806" w:rsidRPr="004A3806" w:rsidRDefault="004A3806" w:rsidP="004A380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68FFD0A8" w14:textId="3E93D6A2" w:rsidR="004A3806" w:rsidRPr="00FE6230" w:rsidRDefault="0048790B" w:rsidP="004A3806">
      <w:pPr>
        <w:rPr>
          <w:rFonts w:ascii="Times New Roman" w:hAnsi="Times New Roman" w:cs="Times New Roman"/>
          <w:sz w:val="20"/>
          <w:lang w:val="fr-FR"/>
        </w:rPr>
      </w:pPr>
      <w:r w:rsidRPr="004A3806">
        <w:rPr>
          <w:rFonts w:ascii="Times New Roman" w:hAnsi="Times New Roman" w:cs="Times New Roman"/>
          <w:sz w:val="20"/>
          <w:lang w:val="fr-FR"/>
        </w:rPr>
        <w:br/>
        <w:t>Note</w:t>
      </w:r>
      <w:r w:rsidR="005578F5">
        <w:rPr>
          <w:rFonts w:ascii="Times New Roman" w:hAnsi="Times New Roman" w:cs="Times New Roman"/>
          <w:sz w:val="20"/>
          <w:lang w:val="fr-FR"/>
        </w:rPr>
        <w:t> </w:t>
      </w:r>
      <w:r w:rsidRPr="004A3806">
        <w:rPr>
          <w:rFonts w:ascii="Times New Roman" w:hAnsi="Times New Roman" w:cs="Times New Roman"/>
          <w:sz w:val="20"/>
          <w:lang w:val="fr-FR"/>
        </w:rPr>
        <w:t>: + = rendement net de la politique</w:t>
      </w:r>
      <w:r w:rsidR="005578F5">
        <w:rPr>
          <w:rFonts w:ascii="Times New Roman" w:hAnsi="Times New Roman" w:cs="Times New Roman"/>
          <w:sz w:val="20"/>
          <w:lang w:val="fr-FR"/>
        </w:rPr>
        <w:t> </w:t>
      </w:r>
      <w:r w:rsidRPr="004A3806">
        <w:rPr>
          <w:rFonts w:ascii="Times New Roman" w:hAnsi="Times New Roman" w:cs="Times New Roman"/>
          <w:sz w:val="20"/>
          <w:lang w:val="fr-FR"/>
        </w:rPr>
        <w:t>; - = coût net de la politique. Le tableau de pointage des politiques doit intégrer le coût final des estimations des politiques individuelles.</w:t>
      </w:r>
    </w:p>
    <w:p w14:paraId="38F4A0B0" w14:textId="77777777" w:rsidR="009E1A20" w:rsidRPr="00FE6230" w:rsidRDefault="009E1A20" w:rsidP="009E1A20">
      <w:pPr>
        <w:spacing w:before="80" w:after="300" w:line="340" w:lineRule="exact"/>
        <w:ind w:right="567"/>
        <w:rPr>
          <w:rFonts w:ascii="Times New Roman" w:eastAsia="MS PMincho" w:hAnsi="Times New Roman" w:cs="Times New Roman"/>
          <w:color w:val="000000"/>
          <w:lang w:val="fr-FR"/>
        </w:rPr>
      </w:pPr>
    </w:p>
    <w:p w14:paraId="1BC55535" w14:textId="77777777" w:rsidR="00D94D79" w:rsidRPr="00FE6230" w:rsidRDefault="00D94D79">
      <w:pPr>
        <w:rPr>
          <w:lang w:val="fr-FR"/>
        </w:rPr>
      </w:pPr>
    </w:p>
    <w:sectPr w:rsidR="00D94D79" w:rsidRPr="00FE6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C4DA" w14:textId="77777777" w:rsidR="00157C31" w:rsidRDefault="00157C31" w:rsidP="005578F5">
      <w:pPr>
        <w:spacing w:after="0" w:line="240" w:lineRule="auto"/>
      </w:pPr>
      <w:r>
        <w:separator/>
      </w:r>
    </w:p>
  </w:endnote>
  <w:endnote w:type="continuationSeparator" w:id="0">
    <w:p w14:paraId="10EDFA73" w14:textId="77777777" w:rsidR="00157C31" w:rsidRDefault="00157C31" w:rsidP="0055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6B5C" w14:textId="77777777" w:rsidR="005578F5" w:rsidRDefault="00557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B7A3" w14:textId="77777777" w:rsidR="005578F5" w:rsidRDefault="00557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CD5B" w14:textId="77777777" w:rsidR="005578F5" w:rsidRDefault="0055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4E6E8" w14:textId="77777777" w:rsidR="00157C31" w:rsidRDefault="00157C31" w:rsidP="005578F5">
      <w:pPr>
        <w:spacing w:after="0" w:line="240" w:lineRule="auto"/>
      </w:pPr>
      <w:r>
        <w:separator/>
      </w:r>
    </w:p>
  </w:footnote>
  <w:footnote w:type="continuationSeparator" w:id="0">
    <w:p w14:paraId="2C277A2D" w14:textId="77777777" w:rsidR="00157C31" w:rsidRDefault="00157C31" w:rsidP="0055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F8F4" w14:textId="77777777" w:rsidR="005578F5" w:rsidRDefault="00557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731D" w14:textId="77777777" w:rsidR="005578F5" w:rsidRDefault="0055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AA30" w14:textId="77777777" w:rsidR="005578F5" w:rsidRDefault="00557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1NDIwNTAwNTQ3MrFQ0lEKTi0uzszPAykwrgUAfwb9kywAAAA="/>
  </w:docVars>
  <w:rsids>
    <w:rsidRoot w:val="009E1A20"/>
    <w:rsid w:val="00011432"/>
    <w:rsid w:val="000E02BF"/>
    <w:rsid w:val="00157C31"/>
    <w:rsid w:val="00160483"/>
    <w:rsid w:val="001676B2"/>
    <w:rsid w:val="00476D13"/>
    <w:rsid w:val="0048790B"/>
    <w:rsid w:val="004A3806"/>
    <w:rsid w:val="005578F5"/>
    <w:rsid w:val="005E635E"/>
    <w:rsid w:val="00653169"/>
    <w:rsid w:val="007B4732"/>
    <w:rsid w:val="00834B1F"/>
    <w:rsid w:val="008538B6"/>
    <w:rsid w:val="008A72AD"/>
    <w:rsid w:val="008B4DA7"/>
    <w:rsid w:val="008E54C5"/>
    <w:rsid w:val="00912351"/>
    <w:rsid w:val="00926DBD"/>
    <w:rsid w:val="009B5094"/>
    <w:rsid w:val="009E1A20"/>
    <w:rsid w:val="00B11E5C"/>
    <w:rsid w:val="00BA28D6"/>
    <w:rsid w:val="00BC3A5D"/>
    <w:rsid w:val="00C26456"/>
    <w:rsid w:val="00C272E7"/>
    <w:rsid w:val="00C72316"/>
    <w:rsid w:val="00CB28C4"/>
    <w:rsid w:val="00D94D79"/>
    <w:rsid w:val="00DA2F01"/>
    <w:rsid w:val="00E06E9C"/>
    <w:rsid w:val="00E85621"/>
    <w:rsid w:val="00EB1F5A"/>
    <w:rsid w:val="00EF4B47"/>
    <w:rsid w:val="00F21910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54C8"/>
  <w15:chartTrackingRefBased/>
  <w15:docId w15:val="{E61C0180-9021-45EA-BC10-02C26A5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E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E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alone">
    <w:name w:val="Table note alone"/>
    <w:basedOn w:val="Normal"/>
    <w:next w:val="Normal"/>
    <w:uiPriority w:val="23"/>
    <w:qFormat/>
    <w:rsid w:val="004A3806"/>
    <w:pPr>
      <w:keepLines/>
      <w:spacing w:before="240" w:after="280" w:line="240" w:lineRule="exact"/>
      <w:ind w:right="567"/>
      <w:contextualSpacing/>
    </w:pPr>
    <w:rPr>
      <w:rFonts w:asciiTheme="majorHAnsi" w:hAnsiTheme="majorHAnsi"/>
      <w:color w:val="E7E6E6" w:themeColor="background2"/>
      <w:sz w:val="18"/>
    </w:rPr>
  </w:style>
  <w:style w:type="paragraph" w:styleId="Header">
    <w:name w:val="header"/>
    <w:basedOn w:val="Normal"/>
    <w:link w:val="HeaderChar"/>
    <w:uiPriority w:val="99"/>
    <w:unhideWhenUsed/>
    <w:rsid w:val="0055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8F5"/>
  </w:style>
  <w:style w:type="paragraph" w:styleId="Footer">
    <w:name w:val="footer"/>
    <w:basedOn w:val="Normal"/>
    <w:link w:val="FooterChar"/>
    <w:uiPriority w:val="99"/>
    <w:unhideWhenUsed/>
    <w:rsid w:val="0055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F5"/>
  </w:style>
  <w:style w:type="paragraph" w:styleId="Revision">
    <w:name w:val="Revision"/>
    <w:hidden/>
    <w:uiPriority w:val="99"/>
    <w:semiHidden/>
    <w:rsid w:val="00DA2F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2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Warwick</dc:creator>
  <cp:lastModifiedBy>Yani Tyskerud</cp:lastModifiedBy>
  <cp:revision>3</cp:revision>
  <dcterms:created xsi:type="dcterms:W3CDTF">2025-04-23T16:27:00Z</dcterms:created>
  <dcterms:modified xsi:type="dcterms:W3CDTF">2025-04-24T12:08:00Z</dcterms:modified>
</cp:coreProperties>
</file>